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763" w:rsidRDefault="00E20763" w:rsidP="005E70B9">
      <w:pPr>
        <w:spacing w:line="480" w:lineRule="auto"/>
        <w:jc w:val="center"/>
      </w:pPr>
    </w:p>
    <w:p w:rsidR="00E20763" w:rsidRDefault="00E20763" w:rsidP="005E70B9">
      <w:pPr>
        <w:spacing w:line="480" w:lineRule="auto"/>
        <w:jc w:val="center"/>
      </w:pPr>
    </w:p>
    <w:p w:rsidR="00E20763" w:rsidRDefault="00E20763" w:rsidP="005E70B9">
      <w:pPr>
        <w:spacing w:line="480" w:lineRule="auto"/>
        <w:jc w:val="center"/>
      </w:pPr>
    </w:p>
    <w:p w:rsidR="00E20763" w:rsidRDefault="00E20763" w:rsidP="005E70B9">
      <w:pPr>
        <w:spacing w:line="480" w:lineRule="auto"/>
        <w:jc w:val="center"/>
      </w:pPr>
    </w:p>
    <w:p w:rsidR="001829AE" w:rsidRDefault="001829AE" w:rsidP="005E70B9">
      <w:pPr>
        <w:spacing w:line="480" w:lineRule="auto"/>
        <w:jc w:val="center"/>
      </w:pPr>
    </w:p>
    <w:p w:rsidR="001829AE" w:rsidRDefault="001829AE" w:rsidP="005E70B9">
      <w:pPr>
        <w:spacing w:line="480" w:lineRule="auto"/>
        <w:jc w:val="center"/>
      </w:pPr>
    </w:p>
    <w:p w:rsidR="00E20763" w:rsidRDefault="00E20763" w:rsidP="005E70B9">
      <w:pPr>
        <w:spacing w:line="480" w:lineRule="auto"/>
        <w:jc w:val="center"/>
      </w:pPr>
    </w:p>
    <w:p w:rsidR="00C71466" w:rsidRDefault="00EA53C8" w:rsidP="005E70B9">
      <w:pPr>
        <w:spacing w:line="480" w:lineRule="auto"/>
        <w:jc w:val="center"/>
      </w:pPr>
      <w:r>
        <w:t>Identity Theft</w:t>
      </w:r>
      <w:r w:rsidR="00FC4A47">
        <w:t>.</w:t>
      </w:r>
    </w:p>
    <w:p w:rsidR="00FC4A47" w:rsidRDefault="00FC4A47" w:rsidP="005E70B9">
      <w:pPr>
        <w:spacing w:line="480" w:lineRule="auto"/>
        <w:jc w:val="center"/>
      </w:pPr>
      <w:r>
        <w:t>Name.</w:t>
      </w:r>
    </w:p>
    <w:p w:rsidR="00FC4A47" w:rsidRDefault="00FC4A47" w:rsidP="005E70B9">
      <w:pPr>
        <w:spacing w:line="480" w:lineRule="auto"/>
        <w:jc w:val="center"/>
      </w:pPr>
      <w:r>
        <w:t>Institution.</w:t>
      </w:r>
    </w:p>
    <w:p w:rsidR="00FC4A47" w:rsidRDefault="00FC4A47" w:rsidP="005E70B9">
      <w:pPr>
        <w:spacing w:line="480" w:lineRule="auto"/>
        <w:jc w:val="center"/>
      </w:pPr>
      <w:r>
        <w:t>Date.</w:t>
      </w:r>
    </w:p>
    <w:p w:rsidR="00E20763" w:rsidRDefault="00E20763" w:rsidP="005E70B9">
      <w:pPr>
        <w:spacing w:line="480" w:lineRule="auto"/>
        <w:jc w:val="center"/>
      </w:pPr>
    </w:p>
    <w:p w:rsidR="00E20763" w:rsidRDefault="00E20763" w:rsidP="005E70B9">
      <w:pPr>
        <w:spacing w:line="480" w:lineRule="auto"/>
        <w:jc w:val="center"/>
      </w:pPr>
    </w:p>
    <w:p w:rsidR="00E20763" w:rsidRDefault="00E20763" w:rsidP="005E70B9">
      <w:pPr>
        <w:spacing w:line="480" w:lineRule="auto"/>
        <w:jc w:val="center"/>
      </w:pPr>
    </w:p>
    <w:p w:rsidR="00E20763" w:rsidRDefault="00E20763" w:rsidP="005E70B9">
      <w:pPr>
        <w:spacing w:line="480" w:lineRule="auto"/>
        <w:jc w:val="center"/>
      </w:pPr>
    </w:p>
    <w:p w:rsidR="00E20763" w:rsidRDefault="00E20763" w:rsidP="005E70B9">
      <w:pPr>
        <w:spacing w:line="480" w:lineRule="auto"/>
        <w:jc w:val="center"/>
      </w:pPr>
    </w:p>
    <w:p w:rsidR="00E20763" w:rsidRDefault="00E20763" w:rsidP="005E70B9">
      <w:pPr>
        <w:spacing w:line="480" w:lineRule="auto"/>
        <w:jc w:val="center"/>
      </w:pPr>
    </w:p>
    <w:p w:rsidR="001829AE" w:rsidRDefault="001829AE" w:rsidP="005E70B9">
      <w:pPr>
        <w:spacing w:line="480" w:lineRule="auto"/>
        <w:jc w:val="center"/>
      </w:pPr>
    </w:p>
    <w:p w:rsidR="00FC4A47" w:rsidRDefault="00FC4A47" w:rsidP="005E70B9">
      <w:pPr>
        <w:spacing w:line="480" w:lineRule="auto"/>
        <w:jc w:val="center"/>
      </w:pPr>
      <w:r>
        <w:lastRenderedPageBreak/>
        <w:t>Identity Theft</w:t>
      </w:r>
    </w:p>
    <w:p w:rsidR="00120E57" w:rsidRDefault="00120E57" w:rsidP="00120E57">
      <w:pPr>
        <w:spacing w:line="480" w:lineRule="auto"/>
        <w:ind w:firstLine="720"/>
      </w:pPr>
      <w:r>
        <w:t>White collar crimes are becoming a menace in the USA and other nations. Naturally, white-collar crimes are non-violent and tend to be multi-dimensional as they include identity theft, asset misappropriation, money laundering, tax fraud and insider trading. Usually, people use white-collar crimes interchangeably with corporate crime, fraud or economic crime (Vikbladh, 2016). Altogether, they denote to unlawful acts committed by an individual or a group of people to achieve a professional or a financial gain. Identity theft is a multi-billion menace that can subject citizens' lifetime savings into jeopardy. In the United States, there is an identity theft victim every two seconds (Vikbladh, 2016). The frauds are most prevalent in organizations and are on the rise despite increased statistics of convicted offenders. Therefore, in this paper one will argue that despite significant federal role in combating the rising identity theft cases, organizations and the general public should also join in the fight against identity theft to help tackle the future recurring cases. To achieve the goals, I will provide an identity theft case that was posted by the Fox 13 News on 2-July-2019, involving Garcia, a DCF worker, who aided in stealing identities. Finally, I will provide opinions on how to control future occurrences of such problem.</w:t>
      </w:r>
    </w:p>
    <w:p w:rsidR="00120E57" w:rsidRDefault="00120E57" w:rsidP="00120E57">
      <w:pPr>
        <w:spacing w:line="480" w:lineRule="auto"/>
        <w:ind w:firstLine="720"/>
      </w:pPr>
      <w:r>
        <w:t xml:space="preserve">According to a detective in Sarasota, Garcia, an employee who worked at Florida Department of Children and Family Services (DCF) was involved in stealing of personal information as part of a national identity theft ring that allegedly compromised the identity of approximately 2000 people living in Florida (FOX, 2019). Garcia used her position in the department to access personal information of adults and children and sending them to other people. The information accessed included social security numbers, images of receipts and driver's licenses. The investigators of the case affirmed that the suspects were using the personal </w:t>
      </w:r>
      <w:r>
        <w:lastRenderedPageBreak/>
        <w:t xml:space="preserve">information to open credit card accounts, which were then used to scam people in the area. Garcia's ring was attributed to being responsible for 40 reported fraudulent cases in Florida worth an approximated $260,000. Garcia and her accomplices were charged were on 3rd of July 2019 charged with unlawful use of personal identification after the investigations commenced two months prior (FOX, 2019). Kurt Hoffman, a former prosecutor, affirmed that the identity case would pose lasting effects to the victims. For instance, a woman who was a victim of the data infringement has to put her plans of buying a new home on hold until her credit concerns are resolved (FOX, 2019). Also, the former prosecutor asserted that there would be thousands of credit reports that will arise with time. </w:t>
      </w:r>
    </w:p>
    <w:p w:rsidR="00120E57" w:rsidRDefault="00120E57" w:rsidP="00120E57">
      <w:pPr>
        <w:spacing w:line="480" w:lineRule="auto"/>
        <w:ind w:firstLine="720"/>
      </w:pPr>
      <w:r>
        <w:t xml:space="preserve">The fact that there is no single approved way to prevent identity theft leaves many people susceptible to the effects of information breach (Slyke, Benson &amp; Cullen, 2016). The net impact of a data breach can be far-reaching and completely overwhelming. Apart from massive financial losses, the victims have to cope with harassment by collection agencies, loss of utility services and wrongful arrests. The reality that recovery of the right information can take months or years worsens the situation. Also, the victims in the case may be unable to pay for legal representation. For these reasons, I believe the overall tackling of identity theft cases should be done differently. All relevant people should be involved in the fight against fraud. The stakeholder includes organizational workers, the federal and the general public (Romanosky, 2011). In the case of the victims who were involved in the data compromise at DCF, the investigators should first put a credit freeze on all the credit accounts involved. This approach will stop any moves by un-arrested suspects to fiddle more money. Second, an informed advocacy public, including workers and clients, can help to reduce the impact of identity theft on susceptible people significantly. </w:t>
      </w:r>
      <w:r>
        <w:lastRenderedPageBreak/>
        <w:t>For instance, before providing information to DCF, the involved population should have insisted on information security as provided by the U.S laws.</w:t>
      </w:r>
    </w:p>
    <w:p w:rsidR="00120E57" w:rsidRDefault="00120E57" w:rsidP="00120E57">
      <w:pPr>
        <w:spacing w:line="480" w:lineRule="auto"/>
        <w:ind w:firstLine="720"/>
      </w:pPr>
      <w:r>
        <w:t>Third, technology should take centre stage in combating identity theft. Generally, identity fraud is an organization problem that impedes growth. Technology is a vital aspect in helping to deal with identity theft more effectively (Romanosky, 2011). For instance, artificial intelligence technology (AI) may be critical in helping an organization to recognize users. For instance, if DCF had installed such technology, it would have easier to recognize Garcia since, with AI, a worker has to provide speech or picture to be given access to organization's information. Understanding the importance of such features, as a white-collar professional, I would recommend the federal to push organizations such as the DCF to shift strategically and incorporate such technologies in their operations. Use of technologies coupled with the accounting profession, will be a clever move to tackle recurring identity thefts, now and in future. Accounting professionals in tackling frauds are prudent since they aid in supporting the clients in conforming to robust regulatory requirements, investigating fraud, implementing anti-fraud, monitoring and reporting fraud.</w:t>
      </w:r>
    </w:p>
    <w:p w:rsidR="00120E57" w:rsidRPr="00120E57" w:rsidRDefault="00120E57" w:rsidP="00120E57">
      <w:pPr>
        <w:spacing w:line="480" w:lineRule="auto"/>
        <w:ind w:firstLine="720"/>
        <w:jc w:val="center"/>
        <w:rPr>
          <w:b/>
        </w:rPr>
      </w:pPr>
      <w:r w:rsidRPr="00120E57">
        <w:rPr>
          <w:b/>
        </w:rPr>
        <w:t>Conclusion</w:t>
      </w:r>
    </w:p>
    <w:p w:rsidR="00130742" w:rsidRDefault="00120E57" w:rsidP="00120E57">
      <w:pPr>
        <w:spacing w:line="480" w:lineRule="auto"/>
        <w:ind w:firstLine="720"/>
      </w:pPr>
      <w:r>
        <w:t xml:space="preserve">There is no tested way of preventing identity theft. The impact of identity theft leaves victims at immense financial losses. For instance, the DCF identity theft case resulted in a $260,000 loss over 2000 victims of information infringement. The manner in which identity theft cases are handled sometimes leaves the victims at the risk of being arrested by police. For this reason, transparency, organizations shifting technologically and well-informed advocacy community are the recommended approaches for dealing with the current and future identity fraud cases. </w:t>
      </w:r>
      <w:r w:rsidR="00466D65">
        <w:t xml:space="preserve"> </w:t>
      </w:r>
    </w:p>
    <w:p w:rsidR="00E20763" w:rsidRDefault="00E20763" w:rsidP="005E70B9">
      <w:pPr>
        <w:spacing w:line="480" w:lineRule="auto"/>
        <w:jc w:val="center"/>
      </w:pPr>
    </w:p>
    <w:p w:rsidR="00FC4A47" w:rsidRDefault="00FC4A47" w:rsidP="00B211C7">
      <w:pPr>
        <w:spacing w:line="480" w:lineRule="auto"/>
        <w:jc w:val="center"/>
      </w:pPr>
      <w:r>
        <w:t>References</w:t>
      </w:r>
    </w:p>
    <w:p w:rsidR="005E70B9" w:rsidRDefault="00F82E3E" w:rsidP="005E70B9">
      <w:pPr>
        <w:pStyle w:val="Bibliography"/>
        <w:spacing w:line="480" w:lineRule="auto"/>
        <w:ind w:left="720" w:hanging="720"/>
        <w:rPr>
          <w:noProof/>
        </w:rPr>
      </w:pPr>
      <w:r>
        <w:fldChar w:fldCharType="begin"/>
      </w:r>
      <w:r w:rsidR="005E70B9">
        <w:instrText xml:space="preserve"> BIBLIOGRAPHY  \l 1033 </w:instrText>
      </w:r>
      <w:r>
        <w:fldChar w:fldCharType="separate"/>
      </w:r>
      <w:r w:rsidR="005E70B9">
        <w:rPr>
          <w:noProof/>
        </w:rPr>
        <w:t xml:space="preserve">FOX. (2019, July 2). </w:t>
      </w:r>
      <w:r w:rsidR="005E70B9">
        <w:rPr>
          <w:i/>
          <w:iCs/>
          <w:noProof/>
        </w:rPr>
        <w:t>Deputies: DCF worker helped steal identities for retail ring fraud</w:t>
      </w:r>
      <w:r w:rsidR="005E70B9">
        <w:rPr>
          <w:noProof/>
        </w:rPr>
        <w:t>. Retrieved from Fox 13: http://www.fox13news.com/news/local-news/deputies-dcf-worker-helped-steal-identities-for-retail-fraud-ring</w:t>
      </w:r>
    </w:p>
    <w:p w:rsidR="005E70B9" w:rsidRDefault="005E70B9" w:rsidP="005E70B9">
      <w:pPr>
        <w:pStyle w:val="Bibliography"/>
        <w:spacing w:line="480" w:lineRule="auto"/>
        <w:ind w:left="720" w:hanging="720"/>
        <w:rPr>
          <w:noProof/>
        </w:rPr>
      </w:pPr>
      <w:r>
        <w:rPr>
          <w:noProof/>
        </w:rPr>
        <w:t xml:space="preserve">Romanosky, S. (2011). Do data breach disclosure laws reduce identity theft? </w:t>
      </w:r>
      <w:r>
        <w:rPr>
          <w:i/>
          <w:iCs/>
          <w:noProof/>
        </w:rPr>
        <w:t>Journal of Policy Analysis and Management</w:t>
      </w:r>
      <w:r>
        <w:rPr>
          <w:noProof/>
        </w:rPr>
        <w:t>, 256-286.</w:t>
      </w:r>
    </w:p>
    <w:p w:rsidR="005E70B9" w:rsidRDefault="005E70B9" w:rsidP="005E70B9">
      <w:pPr>
        <w:pStyle w:val="Bibliography"/>
        <w:spacing w:line="480" w:lineRule="auto"/>
        <w:ind w:left="720" w:hanging="720"/>
        <w:rPr>
          <w:noProof/>
        </w:rPr>
      </w:pPr>
      <w:r>
        <w:rPr>
          <w:noProof/>
        </w:rPr>
        <w:t xml:space="preserve">Slyke, R. B. (2016). </w:t>
      </w:r>
      <w:r>
        <w:rPr>
          <w:i/>
          <w:iCs/>
          <w:noProof/>
        </w:rPr>
        <w:t>The Oxford Handbook of WHITE-COLLAR CRIME.</w:t>
      </w:r>
      <w:r>
        <w:rPr>
          <w:noProof/>
        </w:rPr>
        <w:t xml:space="preserve"> Oxford: Oxford University Press.</w:t>
      </w:r>
    </w:p>
    <w:p w:rsidR="005E70B9" w:rsidRDefault="005E70B9" w:rsidP="005E70B9">
      <w:pPr>
        <w:pStyle w:val="Bibliography"/>
        <w:spacing w:line="480" w:lineRule="auto"/>
        <w:ind w:left="720" w:hanging="720"/>
        <w:rPr>
          <w:noProof/>
        </w:rPr>
      </w:pPr>
      <w:r>
        <w:rPr>
          <w:noProof/>
        </w:rPr>
        <w:t xml:space="preserve">Vikbladh, O. (2016). Identity Theft. </w:t>
      </w:r>
      <w:r>
        <w:rPr>
          <w:i/>
          <w:iCs/>
          <w:noProof/>
        </w:rPr>
        <w:t>Science</w:t>
      </w:r>
      <w:r>
        <w:rPr>
          <w:noProof/>
        </w:rPr>
        <w:t>, 46.</w:t>
      </w:r>
    </w:p>
    <w:p w:rsidR="00FC4A47" w:rsidRDefault="00F82E3E" w:rsidP="005E70B9">
      <w:pPr>
        <w:spacing w:line="480" w:lineRule="auto"/>
        <w:ind w:hanging="720"/>
      </w:pPr>
      <w:r>
        <w:fldChar w:fldCharType="end"/>
      </w:r>
    </w:p>
    <w:p w:rsidR="00AC2CC5" w:rsidRDefault="00AC2CC5"/>
    <w:sectPr w:rsidR="00AC2CC5" w:rsidSect="00FC4A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329" w:rsidRDefault="00685329" w:rsidP="00FC4A47">
      <w:pPr>
        <w:spacing w:after="0" w:line="240" w:lineRule="auto"/>
      </w:pPr>
      <w:r>
        <w:separator/>
      </w:r>
    </w:p>
  </w:endnote>
  <w:endnote w:type="continuationSeparator" w:id="1">
    <w:p w:rsidR="00685329" w:rsidRDefault="00685329" w:rsidP="00FC4A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329" w:rsidRDefault="00685329" w:rsidP="00FC4A47">
      <w:pPr>
        <w:spacing w:after="0" w:line="240" w:lineRule="auto"/>
      </w:pPr>
      <w:r>
        <w:separator/>
      </w:r>
    </w:p>
  </w:footnote>
  <w:footnote w:type="continuationSeparator" w:id="1">
    <w:p w:rsidR="00685329" w:rsidRDefault="00685329" w:rsidP="00FC4A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47" w:rsidRDefault="00FC4A47">
    <w:pPr>
      <w:pStyle w:val="Header"/>
      <w:jc w:val="right"/>
    </w:pPr>
    <w:r>
      <w:t xml:space="preserve">IDENTITY THEFT                                                                                                                         </w:t>
    </w:r>
    <w:sdt>
      <w:sdtPr>
        <w:id w:val="26846675"/>
        <w:docPartObj>
          <w:docPartGallery w:val="Page Numbers (Top of Page)"/>
          <w:docPartUnique/>
        </w:docPartObj>
      </w:sdtPr>
      <w:sdtContent>
        <w:fldSimple w:instr=" PAGE   \* MERGEFORMAT ">
          <w:r w:rsidR="00120E57">
            <w:rPr>
              <w:noProof/>
            </w:rPr>
            <w:t>4</w:t>
          </w:r>
        </w:fldSimple>
      </w:sdtContent>
    </w:sdt>
  </w:p>
  <w:p w:rsidR="00FC4A47" w:rsidRDefault="00FC4A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47" w:rsidRDefault="00FC4A47">
    <w:pPr>
      <w:pStyle w:val="Header"/>
      <w:jc w:val="right"/>
    </w:pPr>
    <w:r>
      <w:t xml:space="preserve">Running head: IDENTITY THEFT                                                                                                 </w:t>
    </w:r>
    <w:sdt>
      <w:sdtPr>
        <w:id w:val="26846547"/>
        <w:docPartObj>
          <w:docPartGallery w:val="Page Numbers (Top of Page)"/>
          <w:docPartUnique/>
        </w:docPartObj>
      </w:sdtPr>
      <w:sdtContent>
        <w:fldSimple w:instr=" PAGE   \* MERGEFORMAT ">
          <w:r w:rsidR="00120E57">
            <w:rPr>
              <w:noProof/>
            </w:rPr>
            <w:t>1</w:t>
          </w:r>
        </w:fldSimple>
      </w:sdtContent>
    </w:sdt>
  </w:p>
  <w:p w:rsidR="00FC4A47" w:rsidRDefault="00FC4A4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231AA"/>
    <w:rsid w:val="00042411"/>
    <w:rsid w:val="00084838"/>
    <w:rsid w:val="000C1014"/>
    <w:rsid w:val="00120E57"/>
    <w:rsid w:val="00130742"/>
    <w:rsid w:val="0013079A"/>
    <w:rsid w:val="001829AE"/>
    <w:rsid w:val="001A1962"/>
    <w:rsid w:val="00267ABC"/>
    <w:rsid w:val="003861C4"/>
    <w:rsid w:val="003A1E5D"/>
    <w:rsid w:val="004231AA"/>
    <w:rsid w:val="00436C47"/>
    <w:rsid w:val="00466D65"/>
    <w:rsid w:val="004A60B5"/>
    <w:rsid w:val="004C437D"/>
    <w:rsid w:val="004E7A70"/>
    <w:rsid w:val="005E70B9"/>
    <w:rsid w:val="00675779"/>
    <w:rsid w:val="00681CEB"/>
    <w:rsid w:val="00685329"/>
    <w:rsid w:val="008173C8"/>
    <w:rsid w:val="00857D7C"/>
    <w:rsid w:val="009118D8"/>
    <w:rsid w:val="00927D75"/>
    <w:rsid w:val="0098719D"/>
    <w:rsid w:val="009D0065"/>
    <w:rsid w:val="00A10479"/>
    <w:rsid w:val="00A95D4C"/>
    <w:rsid w:val="00AC2CC5"/>
    <w:rsid w:val="00B211C7"/>
    <w:rsid w:val="00B323A4"/>
    <w:rsid w:val="00B92023"/>
    <w:rsid w:val="00C71466"/>
    <w:rsid w:val="00C764FA"/>
    <w:rsid w:val="00DB65A0"/>
    <w:rsid w:val="00DD0141"/>
    <w:rsid w:val="00E02BDE"/>
    <w:rsid w:val="00E12378"/>
    <w:rsid w:val="00E20763"/>
    <w:rsid w:val="00EA53C8"/>
    <w:rsid w:val="00F3427D"/>
    <w:rsid w:val="00F629B5"/>
    <w:rsid w:val="00F82E3E"/>
    <w:rsid w:val="00FC4A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A47"/>
  </w:style>
  <w:style w:type="paragraph" w:styleId="Footer">
    <w:name w:val="footer"/>
    <w:basedOn w:val="Normal"/>
    <w:link w:val="FooterChar"/>
    <w:uiPriority w:val="99"/>
    <w:semiHidden/>
    <w:unhideWhenUsed/>
    <w:rsid w:val="00FC4A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4A47"/>
  </w:style>
  <w:style w:type="paragraph" w:styleId="BalloonText">
    <w:name w:val="Balloon Text"/>
    <w:basedOn w:val="Normal"/>
    <w:link w:val="BalloonTextChar"/>
    <w:uiPriority w:val="99"/>
    <w:semiHidden/>
    <w:unhideWhenUsed/>
    <w:rsid w:val="00FC4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4A47"/>
    <w:rPr>
      <w:rFonts w:ascii="Tahoma" w:hAnsi="Tahoma" w:cs="Tahoma"/>
      <w:sz w:val="16"/>
      <w:szCs w:val="16"/>
    </w:rPr>
  </w:style>
  <w:style w:type="paragraph" w:styleId="Bibliography">
    <w:name w:val="Bibliography"/>
    <w:basedOn w:val="Normal"/>
    <w:next w:val="Normal"/>
    <w:uiPriority w:val="37"/>
    <w:unhideWhenUsed/>
    <w:rsid w:val="00FC4A4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FOX19</b:Tag>
    <b:SourceType>InternetSite</b:SourceType>
    <b:Guid>{77F78B06-9AF4-4DA7-8E24-2536E46D3BD3}</b:Guid>
    <b:LCID>0</b:LCID>
    <b:Author>
      <b:Author>
        <b:NameList>
          <b:Person>
            <b:Last>FOX</b:Last>
          </b:Person>
        </b:NameList>
      </b:Author>
    </b:Author>
    <b:Title>Deputies: DCF worker helped steal identities for retail ring fraud</b:Title>
    <b:InternetSiteTitle>Fox 13</b:InternetSiteTitle>
    <b:Year>2019</b:Year>
    <b:Month>July</b:Month>
    <b:Day>2</b:Day>
    <b:URL>http://www.fox13news.com/news/local-news/deputies-dcf-worker-helped-steal-identities-for-retail-fraud-ring</b:URL>
    <b:RefOrder>2</b:RefOrder>
  </b:Source>
  <b:Source>
    <b:Tag>Vik16</b:Tag>
    <b:SourceType>JournalArticle</b:SourceType>
    <b:Guid>{C2ECF5D5-45A9-420C-AF0D-680E6D8DD429}</b:Guid>
    <b:LCID>0</b:LCID>
    <b:Author>
      <b:Author>
        <b:NameList>
          <b:Person>
            <b:Last>Vikbladh</b:Last>
            <b:First>O.</b:First>
          </b:Person>
        </b:NameList>
      </b:Author>
    </b:Author>
    <b:Title>Identity Theft</b:Title>
    <b:Year>2016</b:Year>
    <b:JournalName>Science</b:JournalName>
    <b:Pages>46</b:Pages>
    <b:RefOrder>1</b:RefOrder>
  </b:Source>
  <b:Source>
    <b:Tag>Rom11</b:Tag>
    <b:SourceType>JournalArticle</b:SourceType>
    <b:Guid>{9FD0A648-0974-4EB2-8D24-8E3C534917EB}</b:Guid>
    <b:LCID>0</b:LCID>
    <b:Author>
      <b:Author>
        <b:NameList>
          <b:Person>
            <b:Last>Romanosky</b:Last>
            <b:First>S.</b:First>
          </b:Person>
        </b:NameList>
      </b:Author>
    </b:Author>
    <b:Title>Do data breach disclosure laws reduce identity theft?</b:Title>
    <b:JournalName>Journal of Policy Analysis and Management</b:JournalName>
    <b:Year>2011</b:Year>
    <b:Pages>256-286</b:Pages>
    <b:RefOrder>3</b:RefOrder>
  </b:Source>
  <b:Source>
    <b:Tag>Sly16</b:Tag>
    <b:SourceType>Book</b:SourceType>
    <b:Guid>{0D39A451-1162-413D-99BC-84381DB4A24C}</b:Guid>
    <b:LCID>0</b:LCID>
    <b:Author>
      <b:Author>
        <b:NameList>
          <b:Person>
            <b:Last>Slyke</b:Last>
            <b:First>R.,</b:First>
            <b:Middle>Benson, L., and Cullen, T</b:Middle>
          </b:Person>
        </b:NameList>
      </b:Author>
    </b:Author>
    <b:Title>The Oxford Handbook of WHITE-COLLAR CRIME</b:Title>
    <b:Year>2016</b:Year>
    <b:City>Oxford</b:City>
    <b:Publisher>Oxford University Press</b:Publisher>
    <b:RefOrder>4</b:RefOrder>
  </b:Source>
</b:Sources>
</file>

<file path=customXml/itemProps1.xml><?xml version="1.0" encoding="utf-8"?>
<ds:datastoreItem xmlns:ds="http://schemas.openxmlformats.org/officeDocument/2006/customXml" ds:itemID="{058B2F5E-9FD6-4EE4-A1C5-8D5433E81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2019-07-03T19:34:00Z</dcterms:created>
  <dcterms:modified xsi:type="dcterms:W3CDTF">2019-07-03T19:34:00Z</dcterms:modified>
</cp:coreProperties>
</file>